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807a6c1254821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19644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SREDNJOŠKOLSKI ĐAČKI DOM OSIJEK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XII 2025.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759.586,11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794.635,27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729.533,98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853.729,08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117,0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59.093,81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33.590,69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5.937,72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33.590,69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5.937,72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17,7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3.538,56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65.031,53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1837,8</w:t>
            </w:r>
          </w:p>
        </w:tc>
      </w:tr>
    </w:tbl>
    <w:p>
      <w:pPr>
        <w:spacing w:before="0" w:after="0"/>
      </w:pPr>
    </w:p>
    <w:p>
      <w:r>
        <w:t xml:space="preserve">U razdoblju od 01. siječnja do 31. prosinca 2025. godine ostvareni su  prihodi poslovanja u iznosu od 794.635,27 EUR dok rashodi poslovanja u istom razdoblju iznose  853.729,08.</w:t>
      </w:r>
    </w:p>
    <w:p>
      <w:r>
        <w:t xml:space="preserve">Rashodi za nabavu nefinancijske imovine iznose 5.937,72 EUR te se odnose na nabavu nefinancijske imovine za potrebe Srednjoškolskog đačkog doma Osijek (ljuštilicu krumpira i stroj za mljevenje mesa u kuhinji Srednjoškolskg đačkog doma Osijek, printer u uredu odgajatelja, perilicu rublja za učenice, računalo i monitor u uredu odgajatelja kao i monitor i dio namještaja na radnom mjestu operativnog djelatnika za sigurnost i civilnu zaštitu te knjige u knjižnici)</w:t>
      </w:r>
    </w:p>
    <w:p>
      <w:r>
        <w:t xml:space="preserve">Manjak prihoda poslovanja iznosi 59.093,81 EUR. Manjak je dijelom posljedica evidentiranja plaće za prosinac 2025. godine u iznosu od 45.991,94 EUR kao rashoda u 2025. godini za obveze nastale u toj godini, dok će se pripadajući prihodi, sukladno Pravilniku o proračunskom računovodstvu i računskom planu, priznati u izvještajnom razdoblju  u kojem će postati raspoloživi i mjerljivi, odnosno u siječnju 2026. godine.</w:t>
      </w:r>
    </w:p>
    <w:p>
      <w:r>
        <w:t xml:space="preserve">Tijekom izvještajnog razdoblja ostvareni su prihodi iz nadležnog proračuna za financiranje rashoda za nabavu nefinancijske imovine (konto 67121), koji su, sukladno propisima, uključeni u prihode poslovanja. Sredstva su utrošena za nabavu dugotrajne nefinancijske imovine, provedena je obvezna korekcija rezultata na podskupini 992-Rezultat (višak/manjak) u iznosu od 626,10 EUR.</w:t>
      </w:r>
    </w:p>
    <w:p>
      <w:r>
        <w:t xml:space="preserve">Nakon provedene korekcije, manjak prihoda od nefinancijske imovine iznosi 5.311,62 EUR, što je iskazano u obrascu Bilanca.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redovan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421.013,20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493.640,29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117,3</w:t>
            </w:r>
          </w:p>
        </w:tc>
      </w:tr>
    </w:tbl>
    <w:p>
      <w:pPr>
        <w:spacing w:before="0" w:after="0"/>
      </w:pPr>
    </w:p>
    <w:p>
      <w:r>
        <w:t xml:space="preserve">Povećanje rashoda rezultat je rasta osnovice za obračun plaća u javnim službama.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Pristojbe i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3.488,24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20.114,31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576,6</w:t>
            </w:r>
          </w:p>
        </w:tc>
      </w:tr>
    </w:tbl>
    <w:p>
      <w:pPr>
        <w:spacing w:before="0" w:after="0"/>
      </w:pPr>
    </w:p>
    <w:p>
      <w:r>
        <w:t xml:space="preserve">Značajno povećanje rashoda posljedica je plaćanja komunalnog doprinosa Gradu Osijeku u iznosu od 17.634,44, vezano uz rekonstrukciju zgrade javne i društvene namjene, 2. b skupine, Srednjoškolski đački dom Osijek.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Obračunati prihodi poslovanja - nenaplaćeni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1.128,47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46.123,45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4087,3</w:t>
            </w:r>
          </w:p>
        </w:tc>
      </w:tr>
    </w:tbl>
    <w:p>
      <w:pPr>
        <w:spacing w:before="0" w:after="0"/>
      </w:pPr>
    </w:p>
    <w:p>
      <w:r>
        <w:t xml:space="preserve">Povećanje je značajno iz razloga što sadrži plaću za prosinac 2025. godine, odnosno obvezni smo iskazati rashod za 2025. godinu za obveze koje su nastale u 2025. godini.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Uredska oprema i namještaj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21.956,61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3.394,67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15,5</w:t>
            </w:r>
          </w:p>
        </w:tc>
      </w:tr>
    </w:tbl>
    <w:p>
      <w:pPr>
        <w:spacing w:before="0" w:after="0"/>
      </w:pPr>
    </w:p>
    <w:p>
      <w:r>
        <w:t xml:space="preserve">U 2025. godini zabilježeno je smanjenje nabave uredske opreme i namještaja, što je posljedica zamjene uredske opreme i namještaja tijekom proteklih godina.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UKUPAN MANJAK PRIHODA (šifre Y034-X067)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3.538,56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65.031,53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1837,8</w:t>
            </w:r>
          </w:p>
        </w:tc>
      </w:tr>
    </w:tbl>
    <w:p>
      <w:pPr>
        <w:spacing w:before="0" w:after="0"/>
      </w:pPr>
    </w:p>
    <w:p>
      <w:r>
        <w:t xml:space="preserve">Povećanje indeksa posljedica je činjenice da će prihod vezan za plaću iz prosinca 2025. godine biti priznat u siječnju 2026.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96, 97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Obračunati prihodi poslovanja i od prodaje nefinancijske imovine - nenaplaćeni (šifre 96+97)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1.128,47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46.123,45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4087,3</w:t>
            </w:r>
          </w:p>
        </w:tc>
      </w:tr>
    </w:tbl>
    <w:p>
      <w:pPr>
        <w:spacing w:before="0" w:after="0"/>
      </w:pPr>
    </w:p>
    <w:p>
      <w:r>
        <w:t xml:space="preserve">Povećanje je zabilježeno jer uključuje plaću iz prosinca 2025.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3.538,56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65.031,53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1837,8</w:t>
            </w:r>
          </w:p>
        </w:tc>
      </w:tr>
    </w:tbl>
    <w:p>
      <w:pPr>
        <w:spacing w:before="0" w:after="0"/>
      </w:pPr>
    </w:p>
    <w:p>
      <w:r>
        <w:t xml:space="preserve">Indeks se povećava zbog priznavanja prihoda za plaću iz prosinca 2025. godine u siječnju 2026. godine.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Bilanca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Ostala potraživanja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340,34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1148,2</w:t>
            </w:r>
          </w:p>
        </w:tc>
      </w:tr>
    </w:tbl>
    <w:p>
      <w:pPr>
        <w:spacing w:before="0" w:after="0"/>
      </w:pPr>
    </w:p>
    <w:p>
      <w:r>
        <w:t xml:space="preserve">Evidentiranje bolovanja peko HZZO-a i predujmove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Rezultat - višak/manjak (šifre 9221-9222)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62.595,92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-2.435,61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-3,9</w:t>
            </w:r>
          </w:p>
        </w:tc>
      </w:tr>
    </w:tbl>
    <w:p>
      <w:pPr>
        <w:spacing w:before="0" w:after="0"/>
      </w:pPr>
    </w:p>
    <w:p>
      <w:r>
        <w:t xml:space="preserve">Na rezultatu 922, između ostalog, iskazan je manjak zbog plaće za prosinac 2025.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Obračunati prihodi poslovanja (šifre 961 do 963 + 964 do 968)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1.128,47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46.123,45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4087,3</w:t>
            </w:r>
          </w:p>
        </w:tc>
      </w:tr>
    </w:tbl>
    <w:p>
      <w:pPr>
        <w:spacing w:before="0" w:after="0"/>
      </w:pPr>
    </w:p>
    <w:p>
      <w:r>
        <w:t xml:space="preserve">Povećanje indeksa posljedica je uključivanje plaće za prosinac 2025.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Izvanbilančni zapisi - aktiva (šifra 996)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35.217,00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Izvanbilančno su evidentirane potencijalne obveze po osnovi sudskog spora koji je u tijeku.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1. siječnja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Stanje 31. prosinca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99651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Potencijalne obveze po osnovi sudskih sporova u tijeku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99651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35.217,00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Tužitelj:</w:t>
      </w:r>
    </w:p>
    <w:p>
      <w:r>
        <w:t xml:space="preserve">Fizička osoba A</w:t>
      </w:r>
    </w:p>
    <w:p>
      <w:r>
        <w:t xml:space="preserve">Sažeti opis prirode spora:</w:t>
      </w:r>
    </w:p>
    <w:p>
      <w:r>
        <w:t xml:space="preserve">Isplata potraživanja iz radnog odnosa</w:t>
      </w:r>
    </w:p>
    <w:p>
      <w:r>
        <w:t xml:space="preserve">Procjena financijskog učinka:</w:t>
      </w:r>
    </w:p>
    <w:p>
      <w:r>
        <w:t xml:space="preserve">35.217,00</w:t>
      </w:r>
    </w:p>
    <w:p>
      <w:r>
        <w:t xml:space="preserve">Procjenjeno vrijeme odljeva ili priljeva sredstava:</w:t>
      </w:r>
    </w:p>
    <w:p>
      <w:r>
        <w:t xml:space="preserve">31.12.2026.</w:t>
      </w:r>
    </w:p>
    <w:p>
      <w:r>
        <w:t xml:space="preserve">Početak sudskog spora:</w:t>
      </w:r>
    </w:p>
    <w:p>
      <w:r>
        <w:t xml:space="preserve">03.03.2025.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rashodima prema funkcijskoj klasifikaciji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Dodatne usluge u obrazovanju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763.124,67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859.666,80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112,7</w:t>
            </w:r>
          </w:p>
        </w:tc>
      </w:tr>
    </w:tbl>
    <w:p>
      <w:pPr>
        <w:spacing w:before="0" w:after="0"/>
      </w:pPr>
    </w:p>
    <w:p>
      <w:r>
        <w:t xml:space="preserve">Najveći dio troškova učeničkog doma vezan je uz funkciju smještaja i prehrane te su rashodi raspoređeni unutar funkcije 096 - Dodatne usluge u obrazovanju.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Promjene u vrijednosti i obujmu imovine i obveza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 povećanja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 smanjenja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Proizvedena dugotrajna imovina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42.055,53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Sukladnom novom Pravilniku, ispravak vrijednosti dugotrajne nefinancijske imovine evidentiran je preko računa 91511- promjene u vrijednosti imovine.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na dan 31.12.2025. obuhvaćaju obveze za rashode poslovanja, međusobne obveze subjekata općeg proračuna, među njima su :</w:t>
      </w:r>
    </w:p>
    <w:p>
      <w:r>
        <w:t xml:space="preserve">obveze proračunskog korisnika za povrat u proračun - bolovanje HZZO 99,50 EUR </w:t>
      </w:r>
    </w:p>
    <w:p>
      <w:r>
        <w:t xml:space="preserve">obveze proračunskog korisnika za povrat u proračun - 151,10 EUR</w:t>
      </w:r>
    </w:p>
    <w:p>
      <w:r>
        <w:t xml:space="preserve">Obveze za nabavu nefinancijske imovine iznose 1.192,87 i odnose se na stroj za mljevenje mesa te monitor na radnom mjestu operativnog djelatnika za sigurnost i civilnu zaštitu.</w:t>
      </w:r>
    </w:p>
    <w:p>
      <w:r>
        <w:t xml:space="preserve">Na dan 31.12.2025. godine nije bilo dospjelih obveza.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predujmove, depozite, jamčevne pologe i tuđe prihode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obvezama je evidentiran iznos od 0,02 EUR koji se odnosi na razliku u izvršenom povratu zbog čega potraživanje za predujmove-POS 1291003 nije moglo biti zatvoreno s 31.12.2025.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00bbff36ceb459d" /></Relationships>
</file>